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rPr>
          <w:rFonts w:hAnsi="ＭＳ 明朝" w:cs="ＭＳ ゴシック"/>
          <w:color w:val="FF0000"/>
          <w:szCs w:val="21"/>
          <w:lang w:eastAsia="ja-JP"/>
        </w:rPr>
      </w:pPr>
      <w:r>
        <w:rPr>
          <w:rFonts w:hAnsi="ＭＳ 明朝" w:cs="ＭＳ ゴシック" w:hint="eastAsia"/>
          <w:color w:val="FF0000"/>
          <w:szCs w:val="21"/>
          <w:highlight w:val="yellow"/>
          <w:lang w:eastAsia="ja-JP"/>
        </w:rPr>
        <w:t>※作成の時に赤字の注釈は消してください</w:t>
      </w:r>
    </w:p>
    <w:p>
      <w:pPr>
        <w:pStyle w:val="a3"/>
        <w:ind w:firstLineChars="3400" w:firstLine="7140"/>
        <w:rPr>
          <w:rFonts w:hAnsi="ＭＳ 明朝" w:cs="ＭＳ ゴシック"/>
          <w:szCs w:val="21"/>
        </w:rPr>
      </w:pPr>
    </w:p>
    <w:p>
      <w:pPr>
        <w:pStyle w:val="a3"/>
        <w:ind w:firstLineChars="3400" w:firstLine="7140"/>
        <w:rPr>
          <w:rFonts w:hAnsi="ＭＳ 明朝" w:cs="ＭＳ ゴシック"/>
          <w:szCs w:val="21"/>
        </w:rPr>
      </w:pPr>
      <w:r>
        <w:rPr>
          <w:rFonts w:hAnsi="ＭＳ 明朝" w:cs="ＭＳ ゴシック" w:hint="eastAsia"/>
          <w:szCs w:val="21"/>
        </w:rPr>
        <w:t>年</w:t>
      </w:r>
      <w:r>
        <w:rPr>
          <w:rFonts w:hAnsi="ＭＳ 明朝" w:cs="ＭＳ ゴシック" w:hint="eastAsia"/>
          <w:szCs w:val="21"/>
          <w:lang w:eastAsia="ja-JP"/>
        </w:rPr>
        <w:t xml:space="preserve">　　</w:t>
      </w:r>
      <w:r>
        <w:rPr>
          <w:rFonts w:hAnsi="ＭＳ 明朝" w:cs="ＭＳ ゴシック" w:hint="eastAsia"/>
          <w:szCs w:val="21"/>
        </w:rPr>
        <w:t>月</w:t>
      </w:r>
      <w:r>
        <w:rPr>
          <w:rFonts w:hAnsi="ＭＳ 明朝" w:cs="ＭＳ ゴシック" w:hint="eastAsia"/>
          <w:szCs w:val="21"/>
          <w:lang w:eastAsia="ja-JP"/>
        </w:rPr>
        <w:t xml:space="preserve">　　</w:t>
      </w:r>
      <w:r>
        <w:rPr>
          <w:rFonts w:hAnsi="ＭＳ 明朝" w:cs="ＭＳ ゴシック" w:hint="eastAsia"/>
          <w:szCs w:val="21"/>
        </w:rPr>
        <w:t>日</w:t>
      </w:r>
    </w:p>
    <w:p>
      <w:pPr>
        <w:pStyle w:val="a3"/>
        <w:rPr>
          <w:rFonts w:hAnsi="ＭＳ 明朝" w:cs="ＭＳ ゴシック"/>
          <w:szCs w:val="21"/>
          <w:lang w:eastAsia="ja-JP"/>
        </w:rPr>
      </w:pPr>
    </w:p>
    <w:p>
      <w:pPr>
        <w:pStyle w:val="a3"/>
        <w:rPr>
          <w:rFonts w:hAnsi="ＭＳ 明朝" w:cs="ＭＳ ゴシック"/>
          <w:color w:val="FF0000"/>
          <w:szCs w:val="21"/>
          <w:lang w:eastAsia="ja-JP"/>
        </w:rPr>
      </w:pPr>
      <w:r>
        <w:rPr>
          <w:rFonts w:hAnsi="ＭＳ 明朝" w:cs="ＭＳ ゴシック" w:hint="eastAsia"/>
          <w:color w:val="FF0000"/>
          <w:szCs w:val="21"/>
          <w:highlight w:val="yellow"/>
          <w:lang w:eastAsia="ja-JP"/>
        </w:rPr>
        <w:t>(↓</w:t>
      </w:r>
      <w:proofErr w:type="spellStart"/>
      <w:r>
        <w:rPr>
          <w:rFonts w:hAnsi="ＭＳ 明朝" w:cs="ＭＳ ゴシック" w:hint="eastAsia"/>
          <w:color w:val="FF0000"/>
          <w:szCs w:val="21"/>
          <w:highlight w:val="yellow"/>
          <w:lang w:eastAsia="ja-JP"/>
        </w:rPr>
        <w:t>または「ＮＰＯ法人</w:t>
      </w:r>
      <w:proofErr w:type="spellEnd"/>
      <w:r>
        <w:rPr>
          <w:rFonts w:hAnsi="ＭＳ 明朝" w:cs="ＭＳ ゴシック" w:hint="eastAsia"/>
          <w:color w:val="FF0000"/>
          <w:szCs w:val="21"/>
          <w:highlight w:val="yellow"/>
          <w:lang w:eastAsia="ja-JP"/>
        </w:rPr>
        <w:t>」)</w:t>
      </w:r>
    </w:p>
    <w:p>
      <w:pPr>
        <w:pStyle w:val="a3"/>
        <w:rPr>
          <w:rFonts w:hAnsi="ＭＳ 明朝" w:cs="ＭＳ ゴシック"/>
          <w:szCs w:val="21"/>
        </w:rPr>
      </w:pPr>
      <w:proofErr w:type="spellStart"/>
      <w:r>
        <w:rPr>
          <w:rFonts w:hAnsi="ＭＳ 明朝" w:cs="ＭＳ ゴシック" w:hint="eastAsia"/>
          <w:szCs w:val="21"/>
        </w:rPr>
        <w:t>特定非営利活動法人</w:t>
      </w:r>
      <w:proofErr w:type="spellEnd"/>
      <w:r>
        <w:rPr>
          <w:rFonts w:hAnsi="ＭＳ 明朝" w:cs="ＭＳ ゴシック" w:hint="eastAsia"/>
          <w:szCs w:val="21"/>
          <w:lang w:eastAsia="ja-JP"/>
        </w:rPr>
        <w:t xml:space="preserve">　　　　　　　　　</w:t>
      </w:r>
      <w:r>
        <w:rPr>
          <w:rFonts w:hAnsi="ＭＳ 明朝" w:cs="ＭＳ ゴシック" w:hint="eastAsia"/>
          <w:szCs w:val="21"/>
        </w:rPr>
        <w:t xml:space="preserve">　</w:t>
      </w:r>
      <w:proofErr w:type="spellStart"/>
      <w:r>
        <w:rPr>
          <w:rFonts w:hAnsi="ＭＳ 明朝" w:cs="ＭＳ ゴシック" w:hint="eastAsia"/>
          <w:szCs w:val="21"/>
        </w:rPr>
        <w:t>御中</w:t>
      </w:r>
      <w:proofErr w:type="spellEnd"/>
    </w:p>
    <w:p>
      <w:pPr>
        <w:pStyle w:val="a3"/>
        <w:rPr>
          <w:rFonts w:hAnsi="ＭＳ 明朝" w:cs="ＭＳ ゴシック"/>
          <w:szCs w:val="21"/>
          <w:lang w:eastAsia="ja-JP"/>
        </w:rPr>
      </w:pPr>
    </w:p>
    <w:p>
      <w:pPr>
        <w:pStyle w:val="a3"/>
        <w:rPr>
          <w:rFonts w:hAnsi="ＭＳ 明朝" w:cs="ＭＳ ゴシック"/>
          <w:szCs w:val="21"/>
          <w:lang w:eastAsia="ja-JP"/>
        </w:rPr>
      </w:pPr>
    </w:p>
    <w:p>
      <w:pPr>
        <w:pStyle w:val="a3"/>
        <w:jc w:val="center"/>
        <w:rPr>
          <w:rFonts w:hAnsi="ＭＳ 明朝" w:cs="ＭＳ ゴシック"/>
          <w:szCs w:val="21"/>
        </w:rPr>
      </w:pPr>
      <w:r>
        <w:rPr>
          <w:rFonts w:hAnsi="ＭＳ 明朝" w:cs="ＭＳ ゴシック" w:hint="eastAsia"/>
          <w:szCs w:val="21"/>
          <w:lang w:eastAsia="ja-JP"/>
        </w:rPr>
        <w:t>役員</w:t>
      </w:r>
      <w:proofErr w:type="spellStart"/>
      <w:r>
        <w:rPr>
          <w:rFonts w:hAnsi="ＭＳ 明朝" w:cs="ＭＳ ゴシック" w:hint="eastAsia"/>
          <w:szCs w:val="21"/>
        </w:rPr>
        <w:t>就任承諾及び誓約書</w:t>
      </w:r>
      <w:proofErr w:type="spellEnd"/>
    </w:p>
    <w:p>
      <w:pPr>
        <w:pStyle w:val="a3"/>
        <w:rPr>
          <w:rFonts w:hAnsi="ＭＳ 明朝" w:cs="ＭＳ ゴシック"/>
          <w:szCs w:val="21"/>
          <w:lang w:eastAsia="ja-JP"/>
        </w:rPr>
      </w:pPr>
    </w:p>
    <w:p>
      <w:pPr>
        <w:pStyle w:val="a3"/>
        <w:rPr>
          <w:rFonts w:hAnsi="ＭＳ 明朝" w:cs="ＭＳ ゴシック"/>
          <w:szCs w:val="21"/>
          <w:lang w:eastAsia="ja-JP"/>
        </w:rPr>
      </w:pPr>
    </w:p>
    <w:p>
      <w:pPr>
        <w:pStyle w:val="a3"/>
        <w:wordWrap w:val="0"/>
        <w:jc w:val="right"/>
        <w:rPr>
          <w:rFonts w:hAnsi="ＭＳ 明朝" w:cs="ＭＳ ゴシック"/>
          <w:szCs w:val="21"/>
        </w:rPr>
      </w:pPr>
      <w:r>
        <w:rPr>
          <w:rFonts w:hAnsi="ＭＳ 明朝" w:cs="ＭＳ ゴシック" w:hint="eastAsia"/>
          <w:szCs w:val="21"/>
          <w:lang w:eastAsia="ja-JP"/>
        </w:rPr>
        <w:t xml:space="preserve">  </w:t>
      </w:r>
      <w:r>
        <w:rPr>
          <w:rFonts w:hAnsi="ＭＳ 明朝" w:cs="ＭＳ ゴシック" w:hint="eastAsia"/>
          <w:szCs w:val="21"/>
        </w:rPr>
        <w:t xml:space="preserve">　　</w:t>
      </w:r>
      <w:proofErr w:type="spellStart"/>
      <w:r>
        <w:rPr>
          <w:rFonts w:hAnsi="ＭＳ 明朝" w:cs="ＭＳ ゴシック" w:hint="eastAsia"/>
          <w:szCs w:val="21"/>
        </w:rPr>
        <w:t>住所</w:t>
      </w:r>
      <w:proofErr w:type="spellEnd"/>
      <w:r>
        <w:rPr>
          <w:rFonts w:hAnsi="ＭＳ 明朝" w:cs="ＭＳ ゴシック" w:hint="eastAsia"/>
          <w:szCs w:val="21"/>
          <w:lang w:eastAsia="ja-JP"/>
        </w:rPr>
        <w:t xml:space="preserve">  　 　　　　　　</w:t>
      </w:r>
      <w:r>
        <w:rPr>
          <w:rFonts w:hAnsi="ＭＳ 明朝" w:cs="ＭＳ ゴシック" w:hint="eastAsia"/>
          <w:szCs w:val="21"/>
        </w:rPr>
        <w:t xml:space="preserve">　</w:t>
      </w:r>
      <w:r>
        <w:rPr>
          <w:rFonts w:hAnsi="ＭＳ 明朝" w:cs="ＭＳ ゴシック" w:hint="eastAsia"/>
          <w:szCs w:val="21"/>
          <w:lang w:eastAsia="ja-JP"/>
        </w:rPr>
        <w:t xml:space="preserve">　　　　　</w:t>
      </w:r>
      <w:r>
        <w:rPr>
          <w:rFonts w:hAnsi="ＭＳ 明朝" w:cs="ＭＳ ゴシック" w:hint="eastAsia"/>
          <w:szCs w:val="21"/>
        </w:rPr>
        <w:t xml:space="preserve">　　　　　</w:t>
      </w:r>
    </w:p>
    <w:p>
      <w:pPr>
        <w:pStyle w:val="a3"/>
        <w:jc w:val="right"/>
        <w:rPr>
          <w:rFonts w:hAnsi="ＭＳ 明朝" w:cs="ＭＳ ゴシック"/>
          <w:szCs w:val="21"/>
        </w:rPr>
      </w:pPr>
    </w:p>
    <w:p>
      <w:pPr>
        <w:pStyle w:val="a3"/>
        <w:wordWrap w:val="0"/>
        <w:ind w:right="105"/>
        <w:jc w:val="right"/>
        <w:rPr>
          <w:rFonts w:hAnsi="ＭＳ 明朝" w:cs="ＭＳ ゴシック"/>
          <w:szCs w:val="21"/>
        </w:rPr>
      </w:pPr>
      <w:bookmarkStart w:id="0" w:name="_GoBack"/>
      <w:bookmarkEnd w:id="0"/>
      <w:proofErr w:type="spellStart"/>
      <w:r>
        <w:rPr>
          <w:rFonts w:hAnsi="ＭＳ 明朝" w:cs="ＭＳ ゴシック" w:hint="eastAsia"/>
          <w:szCs w:val="21"/>
        </w:rPr>
        <w:t>氏名</w:t>
      </w:r>
      <w:proofErr w:type="spellEnd"/>
      <w:r>
        <w:rPr>
          <w:rFonts w:hAnsi="ＭＳ 明朝" w:cs="ＭＳ ゴシック" w:hint="eastAsia"/>
          <w:szCs w:val="21"/>
        </w:rPr>
        <w:t xml:space="preserve">　</w:t>
      </w:r>
      <w:r>
        <w:rPr>
          <w:rFonts w:hAnsi="ＭＳ 明朝" w:cs="ＭＳ ゴシック" w:hint="eastAsia"/>
          <w:szCs w:val="21"/>
          <w:lang w:eastAsia="ja-JP"/>
        </w:rPr>
        <w:t xml:space="preserve">  　　　　　　　　　　　　　</w:t>
      </w:r>
      <w:r>
        <w:rPr>
          <w:rFonts w:hAnsi="ＭＳ 明朝" w:cs="ＭＳ ゴシック" w:hint="eastAsia"/>
          <w:szCs w:val="21"/>
        </w:rPr>
        <w:t xml:space="preserve">　　　印</w:t>
      </w:r>
    </w:p>
    <w:p>
      <w:pPr>
        <w:pStyle w:val="a3"/>
        <w:rPr>
          <w:rFonts w:hAnsi="ＭＳ 明朝" w:cs="ＭＳ ゴシック"/>
          <w:szCs w:val="21"/>
          <w:lang w:eastAsia="ja-JP"/>
        </w:rPr>
      </w:pPr>
      <w:r>
        <w:rPr>
          <w:rFonts w:hAnsi="ＭＳ 明朝" w:cs="ＭＳ ゴシック" w:hint="eastAsia"/>
          <w:szCs w:val="21"/>
          <w:lang w:eastAsia="ja-JP"/>
        </w:rPr>
        <w:t xml:space="preserve">　　　　　　　　　　　　　　　　　　　　　　</w:t>
      </w:r>
    </w:p>
    <w:p>
      <w:pPr>
        <w:pStyle w:val="a3"/>
        <w:rPr>
          <w:rFonts w:hAnsi="ＭＳ 明朝" w:cs="ＭＳ ゴシック"/>
          <w:szCs w:val="21"/>
          <w:lang w:eastAsia="ja-JP"/>
        </w:rPr>
      </w:pPr>
      <w:r>
        <w:rPr>
          <w:rFonts w:hAnsi="ＭＳ 明朝" w:cs="ＭＳ ゴシック" w:hint="eastAsia"/>
          <w:szCs w:val="21"/>
          <w:lang w:eastAsia="ja-JP"/>
        </w:rPr>
        <w:t xml:space="preserve">　　　　　　　　　　　　　　　　　　　　　　　　　　　　</w:t>
      </w:r>
    </w:p>
    <w:p>
      <w:pPr>
        <w:pStyle w:val="a3"/>
        <w:ind w:firstLineChars="2600" w:firstLine="5460"/>
        <w:rPr>
          <w:rFonts w:hAnsi="ＭＳ 明朝" w:cs="ＭＳ ゴシック"/>
          <w:color w:val="FF0000"/>
          <w:szCs w:val="21"/>
          <w:lang w:eastAsia="ja-JP"/>
        </w:rPr>
      </w:pPr>
      <w:r>
        <w:rPr>
          <w:rFonts w:hAnsi="ＭＳ 明朝" w:cs="ＭＳ ゴシック" w:hint="eastAsia"/>
          <w:szCs w:val="21"/>
          <w:lang w:eastAsia="ja-JP"/>
        </w:rPr>
        <w:t xml:space="preserve">　　　</w:t>
      </w:r>
      <w:r>
        <w:rPr>
          <w:rFonts w:hAnsi="ＭＳ 明朝" w:cs="ＭＳ ゴシック" w:hint="eastAsia"/>
          <w:color w:val="FF0000"/>
          <w:szCs w:val="21"/>
          <w:highlight w:val="yellow"/>
          <w:lang w:eastAsia="ja-JP"/>
        </w:rPr>
        <w:t>(↑</w:t>
      </w:r>
      <w:proofErr w:type="spellStart"/>
      <w:r>
        <w:rPr>
          <w:rFonts w:hAnsi="ＭＳ 明朝" w:cs="ＭＳ ゴシック" w:hint="eastAsia"/>
          <w:color w:val="FF0000"/>
          <w:szCs w:val="21"/>
          <w:highlight w:val="yellow"/>
          <w:lang w:eastAsia="ja-JP"/>
        </w:rPr>
        <w:t>署名または記名押印</w:t>
      </w:r>
      <w:proofErr w:type="spellEnd"/>
      <w:r>
        <w:rPr>
          <w:rFonts w:hAnsi="ＭＳ 明朝" w:cs="ＭＳ ゴシック" w:hint="eastAsia"/>
          <w:color w:val="FF0000"/>
          <w:szCs w:val="21"/>
          <w:highlight w:val="yellow"/>
          <w:lang w:eastAsia="ja-JP"/>
        </w:rPr>
        <w:t>)</w:t>
      </w:r>
    </w:p>
    <w:p>
      <w:pPr>
        <w:pStyle w:val="a3"/>
        <w:rPr>
          <w:rFonts w:hAnsi="ＭＳ 明朝" w:cs="ＭＳ ゴシック"/>
          <w:szCs w:val="21"/>
          <w:lang w:eastAsia="ja-JP"/>
        </w:rPr>
      </w:pPr>
    </w:p>
    <w:p>
      <w:pPr>
        <w:pStyle w:val="a3"/>
        <w:rPr>
          <w:rFonts w:hAnsi="ＭＳ 明朝" w:cs="ＭＳ ゴシック"/>
          <w:color w:val="FF0000"/>
          <w:szCs w:val="21"/>
          <w:lang w:eastAsia="ja-JP"/>
        </w:rPr>
      </w:pPr>
      <w:r>
        <w:rPr>
          <w:rFonts w:hAnsi="ＭＳ 明朝" w:cs="ＭＳ ゴシック" w:hint="eastAsia"/>
          <w:szCs w:val="21"/>
          <w:lang w:eastAsia="ja-JP"/>
        </w:rPr>
        <w:t xml:space="preserve">　　　　　　　　　　　　　　　　　　　　　　　　　　</w:t>
      </w:r>
      <w:r>
        <w:rPr>
          <w:rFonts w:hAnsi="ＭＳ 明朝" w:cs="ＭＳ ゴシック" w:hint="eastAsia"/>
          <w:color w:val="FF0000"/>
          <w:szCs w:val="21"/>
          <w:highlight w:val="yellow"/>
          <w:lang w:eastAsia="ja-JP"/>
        </w:rPr>
        <w:t>↓※理事か監事かどちらか記載</w:t>
      </w:r>
    </w:p>
    <w:p>
      <w:pPr>
        <w:pStyle w:val="a3"/>
        <w:ind w:firstLineChars="100" w:firstLine="210"/>
        <w:rPr>
          <w:rFonts w:hAnsi="ＭＳ 明朝" w:cs="ＭＳ ゴシック"/>
          <w:szCs w:val="21"/>
        </w:rPr>
      </w:pPr>
      <w:proofErr w:type="spellStart"/>
      <w:r>
        <w:rPr>
          <w:rFonts w:hAnsi="ＭＳ 明朝" w:cs="ＭＳ ゴシック" w:hint="eastAsia"/>
          <w:szCs w:val="21"/>
        </w:rPr>
        <w:t>私は、特定非営利活動法</w:t>
      </w:r>
      <w:r>
        <w:rPr>
          <w:rFonts w:hAnsi="ＭＳ 明朝" w:cs="ＭＳ ゴシック" w:hint="eastAsia"/>
          <w:szCs w:val="21"/>
          <w:lang w:eastAsia="ja-JP"/>
        </w:rPr>
        <w:t>人</w:t>
      </w:r>
      <w:proofErr w:type="spellEnd"/>
      <w:r>
        <w:rPr>
          <w:rFonts w:hAnsi="ＭＳ 明朝" w:cs="ＭＳ ゴシック" w:hint="eastAsia"/>
          <w:szCs w:val="21"/>
          <w:lang w:eastAsia="ja-JP"/>
        </w:rPr>
        <w:t xml:space="preserve">　　　　　　　　　　　　</w:t>
      </w:r>
      <w:r>
        <w:rPr>
          <w:rFonts w:hAnsi="ＭＳ 明朝" w:cs="ＭＳ ゴシック" w:hint="eastAsia"/>
          <w:szCs w:val="21"/>
        </w:rPr>
        <w:t>の</w:t>
      </w:r>
      <w:r>
        <w:rPr>
          <w:rFonts w:hAnsi="ＭＳ 明朝" w:cs="ＭＳ ゴシック" w:hint="eastAsia"/>
          <w:color w:val="FF0000"/>
          <w:szCs w:val="21"/>
        </w:rPr>
        <w:t>理事</w:t>
      </w:r>
      <w:r>
        <w:rPr>
          <w:rFonts w:hAnsi="ＭＳ 明朝" w:cs="ＭＳ ゴシック" w:hint="eastAsia"/>
          <w:szCs w:val="21"/>
        </w:rPr>
        <w:t>に就任することを承諾するとともに、特定非営利活動促進法第</w:t>
      </w:r>
      <w:r>
        <w:rPr>
          <w:rFonts w:hAnsi="ＭＳ 明朝" w:cs="ＭＳ ゴシック" w:hint="eastAsia"/>
          <w:szCs w:val="21"/>
          <w:lang w:eastAsia="ja-JP"/>
        </w:rPr>
        <w:t>20</w:t>
      </w:r>
      <w:r>
        <w:rPr>
          <w:rFonts w:hAnsi="ＭＳ 明朝" w:cs="ＭＳ ゴシック" w:hint="eastAsia"/>
          <w:szCs w:val="21"/>
        </w:rPr>
        <w:t>条各号に該当しないこと及び同法第</w:t>
      </w:r>
      <w:r>
        <w:rPr>
          <w:rFonts w:hAnsi="ＭＳ 明朝" w:cs="ＭＳ ゴシック" w:hint="eastAsia"/>
          <w:szCs w:val="21"/>
          <w:lang w:eastAsia="ja-JP"/>
        </w:rPr>
        <w:t>21条の</w:t>
      </w:r>
      <w:proofErr w:type="spellStart"/>
      <w:r>
        <w:rPr>
          <w:rFonts w:hAnsi="ＭＳ 明朝" w:cs="ＭＳ ゴシック" w:hint="eastAsia"/>
          <w:szCs w:val="21"/>
        </w:rPr>
        <w:t>規定に違反しないことを誓約します</w:t>
      </w:r>
      <w:proofErr w:type="spellEnd"/>
      <w:r>
        <w:rPr>
          <w:rFonts w:hAnsi="ＭＳ 明朝" w:cs="ＭＳ ゴシック" w:hint="eastAsia"/>
          <w:szCs w:val="21"/>
        </w:rPr>
        <w:t>。</w:t>
      </w:r>
    </w:p>
    <w:p>
      <w:pPr>
        <w:rPr>
          <w:rFonts w:ascii="ＭＳ 明朝" w:hAnsi="ＭＳ 明朝"/>
          <w:sz w:val="21"/>
          <w:szCs w:val="21"/>
          <w:lang w:val="x-none"/>
        </w:rPr>
      </w:pPr>
      <w:r>
        <w:rPr>
          <w:rFonts w:ascii="ＭＳ 明朝" w:hAnsi="ＭＳ 明朝" w:cs="ＭＳ ゴシック"/>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217170</wp:posOffset>
                </wp:positionV>
                <wp:extent cx="5924550" cy="45720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572000"/>
                        </a:xfrm>
                        <a:prstGeom prst="rect">
                          <a:avLst/>
                        </a:prstGeom>
                        <a:solidFill>
                          <a:srgbClr val="FFFFFF"/>
                        </a:solidFill>
                        <a:ln w="9525">
                          <a:solidFill>
                            <a:srgbClr val="000000"/>
                          </a:solidFill>
                          <a:miter lim="800000"/>
                          <a:headEnd/>
                          <a:tailEnd/>
                        </a:ln>
                      </wps:spPr>
                      <wps:txbx>
                        <w:txbxContent>
                          <w:p>
                            <w:pPr>
                              <w:pStyle w:val="num"/>
                              <w:spacing w:before="0" w:beforeAutospacing="0" w:after="0" w:afterAutospacing="0"/>
                              <w:ind w:left="240" w:hanging="240"/>
                              <w:rPr>
                                <w:rStyle w:val="num1"/>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【特定非営利活動促進法】</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第二十条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次の各号のいずれかに該当する者は、特定非営利活動法人の役員になることができない。</w:t>
                            </w:r>
                          </w:p>
                          <w:p>
                            <w:pPr>
                              <w:pStyle w:val="num"/>
                              <w:spacing w:before="0" w:beforeAutospacing="0" w:after="0" w:afterAutospacing="0"/>
                              <w:ind w:left="48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一</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破産手続開始の決定を受けて復権を得ない者</w:t>
                            </w:r>
                          </w:p>
                          <w:p>
                            <w:pPr>
                              <w:pStyle w:val="num"/>
                              <w:spacing w:before="0" w:beforeAutospacing="0" w:after="0" w:afterAutospacing="0"/>
                              <w:ind w:left="48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二</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禁錮以上の刑に処せられ、その執行を終わった日又はその執行を受けることがなくなった日から二年を経過しない者</w:t>
                            </w:r>
                          </w:p>
                          <w:p>
                            <w:pPr>
                              <w:pStyle w:val="num"/>
                              <w:spacing w:before="0" w:beforeAutospacing="0" w:after="0" w:afterAutospacing="0"/>
                              <w:ind w:left="48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三</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この法律若しくは暴力団員による不当な行為の防止等に関する法律の規定</w:t>
                            </w:r>
                            <w:r>
                              <w:rPr>
                                <w:rStyle w:val="brackets-color1"/>
                                <w:rFonts w:ascii="ＭＳ 明朝" w:eastAsia="ＭＳ 明朝" w:hAnsi="ＭＳ 明朝" w:hint="eastAsia"/>
                                <w:color w:val="333333"/>
                                <w:sz w:val="21"/>
                                <w:szCs w:val="21"/>
                              </w:rPr>
                              <w:t>(</w:t>
                            </w:r>
                            <w:r>
                              <w:rPr>
                                <w:rStyle w:val="brackets-color1"/>
                                <w:rFonts w:ascii="ＭＳ 明朝" w:eastAsia="ＭＳ 明朝" w:hAnsi="ＭＳ 明朝" w:hint="eastAsia"/>
                                <w:sz w:val="21"/>
                                <w:szCs w:val="21"/>
                              </w:rPr>
                              <w:t>同法第三十二条の三第七項及び第三十二条の十一第一項の規定を除く。第四十七条第一号ハにおいて同じ。</w:t>
                            </w:r>
                            <w:proofErr w:type="gramStart"/>
                            <w:r>
                              <w:rPr>
                                <w:rStyle w:val="brackets-color1"/>
                                <w:rFonts w:ascii="ＭＳ 明朝" w:eastAsia="ＭＳ 明朝" w:hAnsi="ＭＳ 明朝" w:hint="eastAsia"/>
                                <w:sz w:val="21"/>
                                <w:szCs w:val="21"/>
                              </w:rPr>
                              <w:t>)</w:t>
                            </w:r>
                            <w:r>
                              <w:rPr>
                                <w:rStyle w:val="p"/>
                                <w:rFonts w:ascii="ＭＳ 明朝" w:eastAsia="ＭＳ 明朝" w:hAnsi="ＭＳ 明朝" w:hint="eastAsia"/>
                                <w:sz w:val="21"/>
                                <w:szCs w:val="21"/>
                              </w:rPr>
                              <w:t>に違反したことにより</w:t>
                            </w:r>
                            <w:proofErr w:type="gramEnd"/>
                            <w:r>
                              <w:rPr>
                                <w:rStyle w:val="p"/>
                                <w:rFonts w:ascii="ＭＳ 明朝" w:eastAsia="ＭＳ 明朝" w:hAnsi="ＭＳ 明朝" w:hint="eastAsia"/>
                                <w:sz w:val="21"/>
                                <w:szCs w:val="21"/>
                              </w:rPr>
                              <w:t>、又は刑法</w:t>
                            </w:r>
                            <w:r>
                              <w:rPr>
                                <w:rStyle w:val="brackets-color1"/>
                                <w:rFonts w:ascii="ＭＳ 明朝" w:eastAsia="ＭＳ 明朝" w:hAnsi="ＭＳ 明朝" w:hint="eastAsia"/>
                                <w:sz w:val="21"/>
                                <w:szCs w:val="21"/>
                              </w:rPr>
                              <w:t>(明治四十年法律第四十五号)</w:t>
                            </w:r>
                            <w:r>
                              <w:rPr>
                                <w:rStyle w:val="p"/>
                                <w:rFonts w:ascii="ＭＳ 明朝" w:eastAsia="ＭＳ 明朝" w:hAnsi="ＭＳ 明朝" w:hint="eastAsia"/>
                                <w:sz w:val="21"/>
                                <w:szCs w:val="21"/>
                              </w:rPr>
                              <w:t>第二百四条、第二百六条、第二百八条、第二百八条の二、第二百二十二条若しくは第二百四十七条の罪若しくは暴力行為等処罰に関する法律</w:t>
                            </w:r>
                            <w:r>
                              <w:rPr>
                                <w:rStyle w:val="brackets-color1"/>
                                <w:rFonts w:ascii="ＭＳ 明朝" w:eastAsia="ＭＳ 明朝" w:hAnsi="ＭＳ 明朝" w:hint="eastAsia"/>
                                <w:sz w:val="21"/>
                                <w:szCs w:val="21"/>
                              </w:rPr>
                              <w:t>(大正十五年法律第六十号)</w:t>
                            </w:r>
                            <w:r>
                              <w:rPr>
                                <w:rStyle w:val="p"/>
                                <w:rFonts w:ascii="ＭＳ 明朝" w:eastAsia="ＭＳ 明朝" w:hAnsi="ＭＳ 明朝" w:hint="eastAsia"/>
                                <w:sz w:val="21"/>
                                <w:szCs w:val="21"/>
                              </w:rPr>
                              <w:t>の</w:t>
                            </w:r>
                            <w:r>
                              <w:rPr>
                                <w:rStyle w:val="p"/>
                                <w:rFonts w:ascii="ＭＳ 明朝" w:eastAsia="ＭＳ 明朝" w:hAnsi="ＭＳ 明朝" w:hint="eastAsia"/>
                                <w:color w:val="333333"/>
                                <w:sz w:val="21"/>
                                <w:szCs w:val="21"/>
                              </w:rPr>
                              <w:t>罪を犯したことにより、罰金の刑に処せられ、その執行を終わった日又はその執行を受けることがなくなった日から二年を経過しない者</w:t>
                            </w:r>
                          </w:p>
                          <w:p>
                            <w:pPr>
                              <w:pStyle w:val="num"/>
                              <w:spacing w:before="0" w:beforeAutospacing="0" w:after="0" w:afterAutospacing="0"/>
                              <w:ind w:left="48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四</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暴力団の構成員等</w:t>
                            </w:r>
                          </w:p>
                          <w:p>
                            <w:pPr>
                              <w:pStyle w:val="num"/>
                              <w:spacing w:before="0" w:beforeAutospacing="0" w:after="0" w:afterAutospacing="0"/>
                              <w:ind w:left="48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五</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第四十三条の規定により設立の認証を取り消された特定非営利活動法人の解散当時の役員で、設立の認証を取り消された日から二年を経過しない者</w:t>
                            </w:r>
                          </w:p>
                          <w:p>
                            <w:pPr>
                              <w:pStyle w:val="num"/>
                              <w:spacing w:before="0" w:beforeAutospacing="0" w:after="0" w:afterAutospacing="0"/>
                              <w:ind w:left="48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六</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心身の故障のため職務を適正に執行することができない者として内閣府令で定めるもの</w:t>
                            </w:r>
                          </w:p>
                          <w:p>
                            <w:pPr>
                              <w:pStyle w:val="1"/>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 xml:space="preserve"> (役員の親族等の排除)</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第二十一条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17.1pt;width:466.5pt;height:5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">
                <v:textbox>
                  <w:txbxContent>
                    <w:p>
                      <w:pPr>
                        <w:pStyle w:val="num"/>
                        <w:spacing w:before="0" w:beforeAutospacing="0" w:after="0" w:afterAutospacing="0"/>
                        <w:ind w:left="240" w:hanging="240"/>
                        <w:rPr>
                          <w:rStyle w:val="num1"/>
                          <w:rFonts w:ascii="ＭＳ 明朝" w:eastAsia="ＭＳ 明朝" w:hAnsi="ＭＳ 明朝"/>
                          <w:color w:val="333333"/>
                          <w:sz w:val="21"/>
                          <w:szCs w:val="21"/>
                        </w:rPr>
                      </w:pPr>
                      <w:bookmarkStart w:id="1" w:name="_GoBack"/>
                      <w:r>
                        <w:rPr>
                          <w:rStyle w:val="num1"/>
                          <w:rFonts w:ascii="ＭＳ 明朝" w:eastAsia="ＭＳ 明朝" w:hAnsi="ＭＳ 明朝" w:hint="eastAsia"/>
                          <w:color w:val="333333"/>
                          <w:sz w:val="21"/>
                          <w:szCs w:val="21"/>
                        </w:rPr>
                        <w:t>【特定非営利活動促進法】</w:t>
                      </w:r>
                    </w:p>
                    <w:p>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第二十条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次の各号</w:t>
                      </w:r>
                      <w:r>
                        <w:rPr>
                          <w:rStyle w:val="p"/>
                          <w:rFonts w:ascii="ＭＳ 明朝" w:eastAsia="ＭＳ 明朝" w:hAnsi="ＭＳ 明朝" w:hint="eastAsia"/>
                          <w:color w:val="333333"/>
                          <w:sz w:val="21"/>
                          <w:szCs w:val="21"/>
                        </w:rPr>
                        <w:t>のいずれかに該当する者は、特定非営利活動法人の役員になることができない。</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一</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破産手続開始の決定を受けて復権を得ない者</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二</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禁錮以上の刑に処せられ、その執行を終わった日又はその執行を受けることがなくなった日から二年を経過しない者</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三</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この法律若しくは</w:t>
                      </w:r>
                      <w:r>
                        <w:rPr>
                          <w:rStyle w:val="p"/>
                          <w:rFonts w:ascii="ＭＳ 明朝" w:eastAsia="ＭＳ 明朝" w:hAnsi="ＭＳ 明朝" w:hint="eastAsia"/>
                          <w:color w:val="333333"/>
                          <w:sz w:val="21"/>
                          <w:szCs w:val="21"/>
                        </w:rPr>
                        <w:t>暴力団員による不当な行為の防止等に関する法律</w:t>
                      </w:r>
                      <w:r>
                        <w:rPr>
                          <w:rStyle w:val="p"/>
                          <w:rFonts w:ascii="ＭＳ 明朝" w:eastAsia="ＭＳ 明朝" w:hAnsi="ＭＳ 明朝" w:hint="eastAsia"/>
                          <w:color w:val="333333"/>
                          <w:sz w:val="21"/>
                          <w:szCs w:val="21"/>
                        </w:rPr>
                        <w:t>の規定</w:t>
                      </w:r>
                      <w:r>
                        <w:rPr>
                          <w:rStyle w:val="brackets-color1"/>
                          <w:rFonts w:ascii="ＭＳ 明朝" w:eastAsia="ＭＳ 明朝" w:hAnsi="ＭＳ 明朝" w:hint="eastAsia"/>
                          <w:color w:val="333333"/>
                          <w:sz w:val="21"/>
                          <w:szCs w:val="21"/>
                        </w:rPr>
                        <w:t>(</w:t>
                      </w:r>
                      <w:r>
                        <w:rPr>
                          <w:rStyle w:val="brackets-color1"/>
                          <w:rFonts w:ascii="ＭＳ 明朝" w:eastAsia="ＭＳ 明朝" w:hAnsi="ＭＳ 明朝" w:hint="eastAsia"/>
                          <w:sz w:val="21"/>
                          <w:szCs w:val="21"/>
                        </w:rPr>
                        <w:t>同法第三十二条の三第七項及び第三十二条の十一第一項の規定を除く。第四十七条第一号ハにおいて同じ。</w:t>
                      </w:r>
                      <w:proofErr w:type="gramStart"/>
                      <w:r>
                        <w:rPr>
                          <w:rStyle w:val="brackets-color1"/>
                          <w:rFonts w:ascii="ＭＳ 明朝" w:eastAsia="ＭＳ 明朝" w:hAnsi="ＭＳ 明朝" w:hint="eastAsia"/>
                          <w:sz w:val="21"/>
                          <w:szCs w:val="21"/>
                        </w:rPr>
                        <w:t>)</w:t>
                      </w:r>
                      <w:r>
                        <w:rPr>
                          <w:rStyle w:val="p"/>
                          <w:rFonts w:ascii="ＭＳ 明朝" w:eastAsia="ＭＳ 明朝" w:hAnsi="ＭＳ 明朝" w:hint="eastAsia"/>
                          <w:sz w:val="21"/>
                          <w:szCs w:val="21"/>
                        </w:rPr>
                        <w:t>に違反したことにより</w:t>
                      </w:r>
                      <w:proofErr w:type="gramEnd"/>
                      <w:r>
                        <w:rPr>
                          <w:rStyle w:val="p"/>
                          <w:rFonts w:ascii="ＭＳ 明朝" w:eastAsia="ＭＳ 明朝" w:hAnsi="ＭＳ 明朝" w:hint="eastAsia"/>
                          <w:sz w:val="21"/>
                          <w:szCs w:val="21"/>
                        </w:rPr>
                        <w:t>、又は</w:t>
                      </w:r>
                      <w:r>
                        <w:rPr>
                          <w:rStyle w:val="p"/>
                          <w:rFonts w:ascii="ＭＳ 明朝" w:eastAsia="ＭＳ 明朝" w:hAnsi="ＭＳ 明朝" w:hint="eastAsia"/>
                          <w:sz w:val="21"/>
                          <w:szCs w:val="21"/>
                        </w:rPr>
                        <w:t>刑法</w:t>
                      </w:r>
                      <w:r>
                        <w:rPr>
                          <w:rStyle w:val="brackets-color1"/>
                          <w:rFonts w:ascii="ＭＳ 明朝" w:eastAsia="ＭＳ 明朝" w:hAnsi="ＭＳ 明朝" w:hint="eastAsia"/>
                          <w:sz w:val="21"/>
                          <w:szCs w:val="21"/>
                        </w:rPr>
                        <w:t>(明治四十年法律第四十五号)</w:t>
                      </w:r>
                      <w:r>
                        <w:rPr>
                          <w:rStyle w:val="p"/>
                          <w:rFonts w:ascii="ＭＳ 明朝" w:eastAsia="ＭＳ 明朝" w:hAnsi="ＭＳ 明朝" w:hint="eastAsia"/>
                          <w:sz w:val="21"/>
                          <w:szCs w:val="21"/>
                        </w:rPr>
                        <w:t>第二百四条</w:t>
                      </w:r>
                      <w:r>
                        <w:rPr>
                          <w:rStyle w:val="p"/>
                          <w:rFonts w:ascii="ＭＳ 明朝" w:eastAsia="ＭＳ 明朝" w:hAnsi="ＭＳ 明朝" w:hint="eastAsia"/>
                          <w:sz w:val="21"/>
                          <w:szCs w:val="21"/>
                        </w:rPr>
                        <w:t>、</w:t>
                      </w:r>
                      <w:r>
                        <w:rPr>
                          <w:rStyle w:val="p"/>
                          <w:rFonts w:ascii="ＭＳ 明朝" w:eastAsia="ＭＳ 明朝" w:hAnsi="ＭＳ 明朝" w:hint="eastAsia"/>
                          <w:sz w:val="21"/>
                          <w:szCs w:val="21"/>
                        </w:rPr>
                        <w:t>第二百六条</w:t>
                      </w:r>
                      <w:r>
                        <w:rPr>
                          <w:rStyle w:val="p"/>
                          <w:rFonts w:ascii="ＭＳ 明朝" w:eastAsia="ＭＳ 明朝" w:hAnsi="ＭＳ 明朝" w:hint="eastAsia"/>
                          <w:sz w:val="21"/>
                          <w:szCs w:val="21"/>
                        </w:rPr>
                        <w:t>、</w:t>
                      </w:r>
                      <w:r>
                        <w:rPr>
                          <w:rStyle w:val="p"/>
                          <w:rFonts w:ascii="ＭＳ 明朝" w:eastAsia="ＭＳ 明朝" w:hAnsi="ＭＳ 明朝" w:hint="eastAsia"/>
                          <w:sz w:val="21"/>
                          <w:szCs w:val="21"/>
                        </w:rPr>
                        <w:t>第二百八条</w:t>
                      </w:r>
                      <w:r>
                        <w:rPr>
                          <w:rStyle w:val="p"/>
                          <w:rFonts w:ascii="ＭＳ 明朝" w:eastAsia="ＭＳ 明朝" w:hAnsi="ＭＳ 明朝" w:hint="eastAsia"/>
                          <w:sz w:val="21"/>
                          <w:szCs w:val="21"/>
                        </w:rPr>
                        <w:t>、</w:t>
                      </w:r>
                      <w:r>
                        <w:rPr>
                          <w:rStyle w:val="p"/>
                          <w:rFonts w:ascii="ＭＳ 明朝" w:eastAsia="ＭＳ 明朝" w:hAnsi="ＭＳ 明朝" w:hint="eastAsia"/>
                          <w:sz w:val="21"/>
                          <w:szCs w:val="21"/>
                        </w:rPr>
                        <w:t>第二百八条の二</w:t>
                      </w:r>
                      <w:r>
                        <w:rPr>
                          <w:rStyle w:val="p"/>
                          <w:rFonts w:ascii="ＭＳ 明朝" w:eastAsia="ＭＳ 明朝" w:hAnsi="ＭＳ 明朝" w:hint="eastAsia"/>
                          <w:sz w:val="21"/>
                          <w:szCs w:val="21"/>
                        </w:rPr>
                        <w:t>、</w:t>
                      </w:r>
                      <w:r>
                        <w:rPr>
                          <w:rStyle w:val="p"/>
                          <w:rFonts w:ascii="ＭＳ 明朝" w:eastAsia="ＭＳ 明朝" w:hAnsi="ＭＳ 明朝" w:hint="eastAsia"/>
                          <w:sz w:val="21"/>
                          <w:szCs w:val="21"/>
                        </w:rPr>
                        <w:t>第二百二十二条</w:t>
                      </w:r>
                      <w:r>
                        <w:rPr>
                          <w:rStyle w:val="p"/>
                          <w:rFonts w:ascii="ＭＳ 明朝" w:eastAsia="ＭＳ 明朝" w:hAnsi="ＭＳ 明朝" w:hint="eastAsia"/>
                          <w:sz w:val="21"/>
                          <w:szCs w:val="21"/>
                        </w:rPr>
                        <w:t>若しくは</w:t>
                      </w:r>
                      <w:r>
                        <w:rPr>
                          <w:rStyle w:val="p"/>
                          <w:rFonts w:ascii="ＭＳ 明朝" w:eastAsia="ＭＳ 明朝" w:hAnsi="ＭＳ 明朝" w:hint="eastAsia"/>
                          <w:sz w:val="21"/>
                          <w:szCs w:val="21"/>
                        </w:rPr>
                        <w:t>第二百四十七条</w:t>
                      </w:r>
                      <w:r>
                        <w:rPr>
                          <w:rStyle w:val="p"/>
                          <w:rFonts w:ascii="ＭＳ 明朝" w:eastAsia="ＭＳ 明朝" w:hAnsi="ＭＳ 明朝" w:hint="eastAsia"/>
                          <w:sz w:val="21"/>
                          <w:szCs w:val="21"/>
                        </w:rPr>
                        <w:t>の罪若しくは</w:t>
                      </w:r>
                      <w:r>
                        <w:rPr>
                          <w:rStyle w:val="p"/>
                          <w:rFonts w:ascii="ＭＳ 明朝" w:eastAsia="ＭＳ 明朝" w:hAnsi="ＭＳ 明朝" w:hint="eastAsia"/>
                          <w:sz w:val="21"/>
                          <w:szCs w:val="21"/>
                        </w:rPr>
                        <w:t>暴力行為等処罰に関する法律</w:t>
                      </w:r>
                      <w:r>
                        <w:rPr>
                          <w:rStyle w:val="brackets-color1"/>
                          <w:rFonts w:ascii="ＭＳ 明朝" w:eastAsia="ＭＳ 明朝" w:hAnsi="ＭＳ 明朝" w:hint="eastAsia"/>
                          <w:sz w:val="21"/>
                          <w:szCs w:val="21"/>
                        </w:rPr>
                        <w:t>(大正十五年法律第六十号)</w:t>
                      </w:r>
                      <w:r>
                        <w:rPr>
                          <w:rStyle w:val="p"/>
                          <w:rFonts w:ascii="ＭＳ 明朝" w:eastAsia="ＭＳ 明朝" w:hAnsi="ＭＳ 明朝" w:hint="eastAsia"/>
                          <w:sz w:val="21"/>
                          <w:szCs w:val="21"/>
                        </w:rPr>
                        <w:t>の</w:t>
                      </w:r>
                      <w:r>
                        <w:rPr>
                          <w:rStyle w:val="p"/>
                          <w:rFonts w:ascii="ＭＳ 明朝" w:eastAsia="ＭＳ 明朝" w:hAnsi="ＭＳ 明朝" w:hint="eastAsia"/>
                          <w:color w:val="333333"/>
                          <w:sz w:val="21"/>
                          <w:szCs w:val="21"/>
                        </w:rPr>
                        <w:t>罪を犯したことにより、罰金の刑に処せられ、その執行を終わった日又はその執行を受けることがなくなった日から二年を経過しない者</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四</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暴力団の構成員等</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五</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第四十三条</w:t>
                      </w:r>
                      <w:r>
                        <w:rPr>
                          <w:rStyle w:val="p"/>
                          <w:rFonts w:ascii="ＭＳ 明朝" w:eastAsia="ＭＳ 明朝" w:hAnsi="ＭＳ 明朝" w:hint="eastAsia"/>
                          <w:color w:val="333333"/>
                          <w:sz w:val="21"/>
                          <w:szCs w:val="21"/>
                        </w:rPr>
                        <w:t>の規定により設立の認証を取り消された特定非営利活動法人の解散当時の役員で、設立の認証を取り消された日から二年を経過しない者</w:t>
                      </w:r>
                    </w:p>
                    <w:p>
                      <w:pPr>
                        <w:pStyle w:val="num"/>
                        <w:spacing w:before="0" w:beforeAutospacing="0" w:after="0" w:afterAutospacing="0"/>
                        <w:ind w:left="48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六</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心身の故障のため職務を適正に執行することができない者として内閣府令で定めるもの</w:t>
                      </w:r>
                    </w:p>
                    <w:p>
                      <w:pPr>
                        <w:pStyle w:val="title"/>
                        <w:spacing w:before="0" w:beforeAutospacing="0" w:after="0" w:afterAutospacing="0"/>
                        <w:ind w:left="240"/>
                        <w:rPr>
                          <w:rFonts w:ascii="ＭＳ 明朝" w:eastAsia="ＭＳ 明朝" w:hAnsi="ＭＳ 明朝" w:hint="eastAsia"/>
                          <w:color w:val="333333"/>
                          <w:sz w:val="21"/>
                          <w:szCs w:val="21"/>
                        </w:rPr>
                      </w:pPr>
                      <w:r>
                        <w:rPr>
                          <w:rStyle w:val="cm"/>
                          <w:rFonts w:ascii="ＭＳ 明朝" w:eastAsia="ＭＳ 明朝" w:hAnsi="ＭＳ 明朝" w:hint="eastAsia"/>
                          <w:color w:val="333333"/>
                          <w:sz w:val="21"/>
                          <w:szCs w:val="21"/>
                        </w:rPr>
                        <w:t xml:space="preserve"> </w:t>
                      </w:r>
                      <w:r>
                        <w:rPr>
                          <w:rStyle w:val="cm"/>
                          <w:rFonts w:ascii="ＭＳ 明朝" w:eastAsia="ＭＳ 明朝" w:hAnsi="ＭＳ 明朝" w:hint="eastAsia"/>
                          <w:color w:val="333333"/>
                          <w:sz w:val="21"/>
                          <w:szCs w:val="21"/>
                        </w:rPr>
                        <w:t>(役員の親族等の排除)</w:t>
                      </w:r>
                    </w:p>
                    <w:p>
                      <w:pPr>
                        <w:pStyle w:val="num"/>
                        <w:spacing w:before="0" w:beforeAutospacing="0" w:after="0" w:afterAutospacing="0"/>
                        <w:ind w:left="240" w:hanging="240"/>
                        <w:rPr>
                          <w:rFonts w:ascii="ＭＳ 明朝" w:eastAsia="ＭＳ 明朝" w:hAnsi="ＭＳ 明朝" w:hint="eastAsia"/>
                          <w:color w:val="333333"/>
                          <w:sz w:val="21"/>
                          <w:szCs w:val="21"/>
                        </w:rPr>
                      </w:pPr>
                      <w:r>
                        <w:rPr>
                          <w:rStyle w:val="num1"/>
                          <w:rFonts w:ascii="ＭＳ 明朝" w:eastAsia="ＭＳ 明朝" w:hAnsi="ＭＳ 明朝" w:hint="eastAsia"/>
                          <w:color w:val="333333"/>
                          <w:sz w:val="21"/>
                          <w:szCs w:val="21"/>
                        </w:rPr>
                        <w:t>第二十一条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bookmarkEnd w:id="1"/>
                    </w:p>
                  </w:txbxContent>
                </v:textbox>
              </v:shape>
            </w:pict>
          </mc:Fallback>
        </mc:AlternateContent>
      </w:r>
    </w:p>
    <w:sectPr>
      <w:pgSz w:w="11906" w:h="16838" w:code="9"/>
      <w:pgMar w:top="851" w:right="1416" w:bottom="624" w:left="1560" w:header="851" w:footer="992" w:gutter="0"/>
      <w:cols w:space="425"/>
      <w:docGrid w:type="lines" w:linePitch="33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9B9FB91-EB44-4D0E-888B-6017D8F5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pPr>
      <w:ind w:left="480"/>
    </w:pPr>
    <w:rPr>
      <w:lang w:val="x-none" w:eastAsia="x-none"/>
    </w:rPr>
  </w:style>
  <w:style w:type="paragraph" w:styleId="a3">
    <w:name w:val="Plain Text"/>
    <w:basedOn w:val="a"/>
    <w:link w:val="a4"/>
    <w:rPr>
      <w:rFonts w:ascii="ＭＳ 明朝" w:hAnsi="Courier New"/>
      <w:sz w:val="21"/>
      <w:lang w:val="x-none" w:eastAsia="x-none"/>
    </w:rPr>
  </w:style>
  <w:style w:type="character" w:customStyle="1" w:styleId="a4">
    <w:name w:val="書式なし (文字)"/>
    <w:link w:val="a3"/>
    <w:rPr>
      <w:rFonts w:ascii="ＭＳ 明朝" w:eastAsia="ＭＳ 明朝" w:hAnsi="Courier New"/>
      <w:kern w:val="2"/>
      <w:sz w:val="21"/>
      <w:lang w:val="x-none" w:eastAsia="x-none" w:bidi="ar-SA"/>
    </w:rPr>
  </w:style>
  <w:style w:type="character" w:customStyle="1" w:styleId="30">
    <w:name w:val="本文インデント 3 (文字)"/>
    <w:link w:val="3"/>
    <w:rPr>
      <w:rFonts w:ascii="Century" w:eastAsia="ＭＳ 明朝" w:hAnsi="Century"/>
      <w:kern w:val="2"/>
      <w:sz w:val="24"/>
      <w:lang w:val="x-none" w:eastAsia="x-none" w:bidi="ar-SA"/>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rFonts w:ascii="ＭＳ 明朝" w:cs="TmsRmn"/>
      <w:color w:val="000000"/>
      <w:sz w:val="21"/>
      <w:szCs w:val="24"/>
    </w:rPr>
  </w:style>
  <w:style w:type="paragraph" w:styleId="a7">
    <w:name w:val="Closing"/>
    <w:basedOn w:val="a"/>
    <w:pPr>
      <w:jc w:val="right"/>
    </w:pPr>
    <w:rPr>
      <w:sz w:val="21"/>
      <w:szCs w:val="21"/>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style>
  <w:style w:type="character" w:customStyle="1" w:styleId="p">
    <w:name w:val="p"/>
    <w:basedOn w:val="a0"/>
  </w:style>
  <w:style w:type="character" w:styleId="a8">
    <w:name w:val="Hyperlink"/>
    <w:basedOn w:val="a0"/>
    <w:uiPriority w:val="99"/>
    <w:unhideWhenUsed/>
    <w:rPr>
      <w:color w:val="0000FF"/>
      <w:u w:val="single"/>
    </w:rPr>
  </w:style>
  <w:style w:type="character" w:customStyle="1" w:styleId="brackets-color1">
    <w:name w:val="brackets-color1"/>
    <w:basedOn w:val="a0"/>
  </w:style>
  <w:style w:type="paragraph" w:customStyle="1" w:styleId="reviserecord">
    <w:name w:val="revise_record"/>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6888">
      <w:bodyDiv w:val="1"/>
      <w:marLeft w:val="0"/>
      <w:marRight w:val="0"/>
      <w:marTop w:val="0"/>
      <w:marBottom w:val="0"/>
      <w:divBdr>
        <w:top w:val="none" w:sz="0" w:space="0" w:color="auto"/>
        <w:left w:val="none" w:sz="0" w:space="0" w:color="auto"/>
        <w:bottom w:val="none" w:sz="0" w:space="0" w:color="auto"/>
        <w:right w:val="none" w:sz="0" w:space="0" w:color="auto"/>
      </w:divBdr>
      <w:divsChild>
        <w:div w:id="1666740593">
          <w:marLeft w:val="0"/>
          <w:marRight w:val="0"/>
          <w:marTop w:val="0"/>
          <w:marBottom w:val="0"/>
          <w:divBdr>
            <w:top w:val="none" w:sz="0" w:space="0" w:color="auto"/>
            <w:left w:val="none" w:sz="0" w:space="0" w:color="auto"/>
            <w:bottom w:val="none" w:sz="0" w:space="0" w:color="auto"/>
            <w:right w:val="none" w:sz="0" w:space="0" w:color="auto"/>
          </w:divBdr>
          <w:divsChild>
            <w:div w:id="1941332031">
              <w:marLeft w:val="0"/>
              <w:marRight w:val="0"/>
              <w:marTop w:val="0"/>
              <w:marBottom w:val="0"/>
              <w:divBdr>
                <w:top w:val="none" w:sz="0" w:space="0" w:color="auto"/>
                <w:left w:val="none" w:sz="0" w:space="0" w:color="auto"/>
                <w:bottom w:val="none" w:sz="0" w:space="0" w:color="auto"/>
                <w:right w:val="none" w:sz="0" w:space="0" w:color="auto"/>
              </w:divBdr>
              <w:divsChild>
                <w:div w:id="20613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7022">
          <w:marLeft w:val="0"/>
          <w:marRight w:val="0"/>
          <w:marTop w:val="0"/>
          <w:marBottom w:val="0"/>
          <w:divBdr>
            <w:top w:val="none" w:sz="0" w:space="0" w:color="auto"/>
            <w:left w:val="none" w:sz="0" w:space="0" w:color="auto"/>
            <w:bottom w:val="none" w:sz="0" w:space="0" w:color="auto"/>
            <w:right w:val="none" w:sz="0" w:space="0" w:color="auto"/>
          </w:divBdr>
          <w:divsChild>
            <w:div w:id="1156144356">
              <w:marLeft w:val="0"/>
              <w:marRight w:val="0"/>
              <w:marTop w:val="0"/>
              <w:marBottom w:val="0"/>
              <w:divBdr>
                <w:top w:val="none" w:sz="0" w:space="0" w:color="auto"/>
                <w:left w:val="none" w:sz="0" w:space="0" w:color="auto"/>
                <w:bottom w:val="none" w:sz="0" w:space="0" w:color="auto"/>
                <w:right w:val="none" w:sz="0" w:space="0" w:color="auto"/>
              </w:divBdr>
              <w:divsChild>
                <w:div w:id="4963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6174">
          <w:marLeft w:val="0"/>
          <w:marRight w:val="0"/>
          <w:marTop w:val="0"/>
          <w:marBottom w:val="0"/>
          <w:divBdr>
            <w:top w:val="none" w:sz="0" w:space="0" w:color="auto"/>
            <w:left w:val="none" w:sz="0" w:space="0" w:color="auto"/>
            <w:bottom w:val="none" w:sz="0" w:space="0" w:color="auto"/>
            <w:right w:val="none" w:sz="0" w:space="0" w:color="auto"/>
          </w:divBdr>
          <w:divsChild>
            <w:div w:id="713625713">
              <w:marLeft w:val="0"/>
              <w:marRight w:val="0"/>
              <w:marTop w:val="0"/>
              <w:marBottom w:val="0"/>
              <w:divBdr>
                <w:top w:val="none" w:sz="0" w:space="0" w:color="auto"/>
                <w:left w:val="none" w:sz="0" w:space="0" w:color="auto"/>
                <w:bottom w:val="none" w:sz="0" w:space="0" w:color="auto"/>
                <w:right w:val="none" w:sz="0" w:space="0" w:color="auto"/>
              </w:divBdr>
              <w:divsChild>
                <w:div w:id="4766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1288">
          <w:marLeft w:val="0"/>
          <w:marRight w:val="0"/>
          <w:marTop w:val="0"/>
          <w:marBottom w:val="0"/>
          <w:divBdr>
            <w:top w:val="none" w:sz="0" w:space="0" w:color="auto"/>
            <w:left w:val="none" w:sz="0" w:space="0" w:color="auto"/>
            <w:bottom w:val="none" w:sz="0" w:space="0" w:color="auto"/>
            <w:right w:val="none" w:sz="0" w:space="0" w:color="auto"/>
          </w:divBdr>
          <w:divsChild>
            <w:div w:id="605776755">
              <w:marLeft w:val="0"/>
              <w:marRight w:val="0"/>
              <w:marTop w:val="0"/>
              <w:marBottom w:val="0"/>
              <w:divBdr>
                <w:top w:val="none" w:sz="0" w:space="0" w:color="auto"/>
                <w:left w:val="none" w:sz="0" w:space="0" w:color="auto"/>
                <w:bottom w:val="none" w:sz="0" w:space="0" w:color="auto"/>
                <w:right w:val="none" w:sz="0" w:space="0" w:color="auto"/>
              </w:divBdr>
              <w:divsChild>
                <w:div w:id="10600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4989">
          <w:marLeft w:val="0"/>
          <w:marRight w:val="0"/>
          <w:marTop w:val="0"/>
          <w:marBottom w:val="0"/>
          <w:divBdr>
            <w:top w:val="none" w:sz="0" w:space="0" w:color="auto"/>
            <w:left w:val="none" w:sz="0" w:space="0" w:color="auto"/>
            <w:bottom w:val="none" w:sz="0" w:space="0" w:color="auto"/>
            <w:right w:val="none" w:sz="0" w:space="0" w:color="auto"/>
          </w:divBdr>
          <w:divsChild>
            <w:div w:id="527186450">
              <w:marLeft w:val="0"/>
              <w:marRight w:val="0"/>
              <w:marTop w:val="0"/>
              <w:marBottom w:val="0"/>
              <w:divBdr>
                <w:top w:val="none" w:sz="0" w:space="0" w:color="auto"/>
                <w:left w:val="none" w:sz="0" w:space="0" w:color="auto"/>
                <w:bottom w:val="none" w:sz="0" w:space="0" w:color="auto"/>
                <w:right w:val="none" w:sz="0" w:space="0" w:color="auto"/>
              </w:divBdr>
              <w:divsChild>
                <w:div w:id="970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3910">
          <w:marLeft w:val="0"/>
          <w:marRight w:val="0"/>
          <w:marTop w:val="0"/>
          <w:marBottom w:val="0"/>
          <w:divBdr>
            <w:top w:val="none" w:sz="0" w:space="0" w:color="auto"/>
            <w:left w:val="none" w:sz="0" w:space="0" w:color="auto"/>
            <w:bottom w:val="none" w:sz="0" w:space="0" w:color="auto"/>
            <w:right w:val="none" w:sz="0" w:space="0" w:color="auto"/>
          </w:divBdr>
          <w:divsChild>
            <w:div w:id="423962459">
              <w:marLeft w:val="0"/>
              <w:marRight w:val="0"/>
              <w:marTop w:val="0"/>
              <w:marBottom w:val="0"/>
              <w:divBdr>
                <w:top w:val="none" w:sz="0" w:space="0" w:color="auto"/>
                <w:left w:val="none" w:sz="0" w:space="0" w:color="auto"/>
                <w:bottom w:val="none" w:sz="0" w:space="0" w:color="auto"/>
                <w:right w:val="none" w:sz="0" w:space="0" w:color="auto"/>
              </w:divBdr>
              <w:divsChild>
                <w:div w:id="9670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5337">
          <w:marLeft w:val="0"/>
          <w:marRight w:val="0"/>
          <w:marTop w:val="0"/>
          <w:marBottom w:val="0"/>
          <w:divBdr>
            <w:top w:val="none" w:sz="0" w:space="0" w:color="auto"/>
            <w:left w:val="none" w:sz="0" w:space="0" w:color="auto"/>
            <w:bottom w:val="none" w:sz="0" w:space="0" w:color="auto"/>
            <w:right w:val="none" w:sz="0" w:space="0" w:color="auto"/>
          </w:divBdr>
          <w:divsChild>
            <w:div w:id="1878084599">
              <w:marLeft w:val="0"/>
              <w:marRight w:val="0"/>
              <w:marTop w:val="0"/>
              <w:marBottom w:val="0"/>
              <w:divBdr>
                <w:top w:val="none" w:sz="0" w:space="0" w:color="auto"/>
                <w:left w:val="none" w:sz="0" w:space="0" w:color="auto"/>
                <w:bottom w:val="none" w:sz="0" w:space="0" w:color="auto"/>
                <w:right w:val="none" w:sz="0" w:space="0" w:color="auto"/>
              </w:divBdr>
              <w:divsChild>
                <w:div w:id="242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7784">
          <w:marLeft w:val="0"/>
          <w:marRight w:val="0"/>
          <w:marTop w:val="0"/>
          <w:marBottom w:val="0"/>
          <w:divBdr>
            <w:top w:val="none" w:sz="0" w:space="0" w:color="auto"/>
            <w:left w:val="none" w:sz="0" w:space="0" w:color="auto"/>
            <w:bottom w:val="none" w:sz="0" w:space="0" w:color="auto"/>
            <w:right w:val="none" w:sz="0" w:space="0" w:color="auto"/>
          </w:divBdr>
          <w:divsChild>
            <w:div w:id="1205554720">
              <w:marLeft w:val="0"/>
              <w:marRight w:val="0"/>
              <w:marTop w:val="0"/>
              <w:marBottom w:val="0"/>
              <w:divBdr>
                <w:top w:val="none" w:sz="0" w:space="0" w:color="auto"/>
                <w:left w:val="none" w:sz="0" w:space="0" w:color="auto"/>
                <w:bottom w:val="none" w:sz="0" w:space="0" w:color="auto"/>
                <w:right w:val="none" w:sz="0" w:space="0" w:color="auto"/>
              </w:divBdr>
            </w:div>
          </w:divsChild>
        </w:div>
        <w:div w:id="846333644">
          <w:marLeft w:val="0"/>
          <w:marRight w:val="0"/>
          <w:marTop w:val="0"/>
          <w:marBottom w:val="0"/>
          <w:divBdr>
            <w:top w:val="none" w:sz="0" w:space="0" w:color="auto"/>
            <w:left w:val="none" w:sz="0" w:space="0" w:color="auto"/>
            <w:bottom w:val="none" w:sz="0" w:space="0" w:color="auto"/>
            <w:right w:val="none" w:sz="0" w:space="0" w:color="auto"/>
          </w:divBdr>
          <w:divsChild>
            <w:div w:id="542248802">
              <w:marLeft w:val="0"/>
              <w:marRight w:val="0"/>
              <w:marTop w:val="0"/>
              <w:marBottom w:val="0"/>
              <w:divBdr>
                <w:top w:val="none" w:sz="0" w:space="0" w:color="auto"/>
                <w:left w:val="none" w:sz="0" w:space="0" w:color="auto"/>
                <w:bottom w:val="none" w:sz="0" w:space="0" w:color="auto"/>
                <w:right w:val="none" w:sz="0" w:space="0" w:color="auto"/>
              </w:divBdr>
              <w:divsChild>
                <w:div w:id="4990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261">
          <w:marLeft w:val="0"/>
          <w:marRight w:val="0"/>
          <w:marTop w:val="0"/>
          <w:marBottom w:val="0"/>
          <w:divBdr>
            <w:top w:val="none" w:sz="0" w:space="0" w:color="auto"/>
            <w:left w:val="none" w:sz="0" w:space="0" w:color="auto"/>
            <w:bottom w:val="none" w:sz="0" w:space="0" w:color="auto"/>
            <w:right w:val="none" w:sz="0" w:space="0" w:color="auto"/>
          </w:divBdr>
          <w:divsChild>
            <w:div w:id="332680882">
              <w:marLeft w:val="0"/>
              <w:marRight w:val="0"/>
              <w:marTop w:val="0"/>
              <w:marBottom w:val="0"/>
              <w:divBdr>
                <w:top w:val="none" w:sz="0" w:space="0" w:color="auto"/>
                <w:left w:val="none" w:sz="0" w:space="0" w:color="auto"/>
                <w:bottom w:val="none" w:sz="0" w:space="0" w:color="auto"/>
                <w:right w:val="none" w:sz="0" w:space="0" w:color="auto"/>
              </w:divBdr>
              <w:divsChild>
                <w:div w:id="12873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様式例（P303備考第七１関係）</vt:lpstr>
      <vt:lpstr>様式例（P303備考第七１関係）</vt:lpstr>
    </vt:vector>
  </TitlesOfParts>
  <Company>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様式例（P303備考第七１関係）</dc:title>
  <dc:subject/>
  <dc:creator>H0000</dc:creator>
  <cp:keywords/>
  <dc:description/>
  <cp:lastModifiedBy>Windows ユーザー</cp:lastModifiedBy>
  <cp:revision>6</cp:revision>
  <dcterms:created xsi:type="dcterms:W3CDTF">2023-05-22T04:42:00Z</dcterms:created>
  <dcterms:modified xsi:type="dcterms:W3CDTF">2025-04-07T06:35:00Z</dcterms:modified>
</cp:coreProperties>
</file>