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jc w:val="center"/>
        <w:rPr>
          <w:rFonts w:asciiTheme="minorEastAsia" w:eastAsiaTheme="minorEastAsia" w:hAnsiTheme="minorEastAsia" w:cs="MS-Mincho"/>
          <w:kern w:val="0"/>
          <w:sz w:val="24"/>
        </w:rPr>
      </w:pPr>
      <w:bookmarkStart w:id="0" w:name="_GoBack"/>
      <w:bookmarkEnd w:id="0"/>
      <w:r>
        <w:rPr>
          <w:rFonts w:asciiTheme="minorEastAsia" w:eastAsiaTheme="minorEastAsia" w:hAnsiTheme="minorEastAsia" w:cs="MS-Mincho" w:hint="eastAsia"/>
          <w:kern w:val="0"/>
          <w:sz w:val="24"/>
        </w:rPr>
        <w:t>オンライン資格確認等システムによる</w:t>
      </w:r>
    </w:p>
    <w:p>
      <w:pPr>
        <w:autoSpaceDE w:val="0"/>
        <w:autoSpaceDN w:val="0"/>
        <w:adjustRightInd w:val="0"/>
        <w:jc w:val="center"/>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保険者からの特定健康診査情報の提供に関する不同意申請書</w:t>
      </w:r>
    </w:p>
    <w:p>
      <w:pPr>
        <w:autoSpaceDE w:val="0"/>
        <w:autoSpaceDN w:val="0"/>
        <w:adjustRightInd w:val="0"/>
        <w:jc w:val="center"/>
        <w:rPr>
          <w:rFonts w:asciiTheme="minorEastAsia" w:eastAsiaTheme="minorEastAsia" w:hAnsiTheme="minorEastAsia" w:cs="MS-Mincho"/>
          <w:kern w:val="0"/>
          <w:sz w:val="24"/>
        </w:rPr>
      </w:pPr>
    </w:p>
    <w:p>
      <w:pPr>
        <w:autoSpaceDE w:val="0"/>
        <w:autoSpaceDN w:val="0"/>
        <w:adjustRightInd w:val="0"/>
        <w:ind w:firstLineChars="100" w:firstLine="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私は、浜松市国民健康保険が、オンライン資格確認等システムにより、浜松市国民健康保険に加入する前に加入していた保険者に対し、特定健診情報の取得の作業を行うことに同意しません。</w:t>
      </w:r>
    </w:p>
    <w:p>
      <w:pPr>
        <w:autoSpaceDE w:val="0"/>
        <w:autoSpaceDN w:val="0"/>
        <w:adjustRightInd w:val="0"/>
        <w:ind w:firstLineChars="100" w:firstLine="240"/>
        <w:jc w:val="left"/>
        <w:rPr>
          <w:rFonts w:asciiTheme="minorEastAsia" w:eastAsiaTheme="minorEastAsia" w:hAnsiTheme="minorEastAsia" w:cs="MS-Mincho"/>
          <w:kern w:val="0"/>
          <w:sz w:val="24"/>
        </w:rPr>
      </w:pPr>
    </w:p>
    <w:p>
      <w:pPr>
        <w:autoSpaceDE w:val="0"/>
        <w:autoSpaceDN w:val="0"/>
        <w:adjustRightInd w:val="0"/>
        <w:ind w:firstLineChars="100" w:firstLine="240"/>
        <w:jc w:val="left"/>
        <w:rPr>
          <w:rFonts w:asciiTheme="minorEastAsia" w:eastAsiaTheme="minorEastAsia" w:hAnsiTheme="minorEastAsia" w:cs="MS-Mincho"/>
          <w:kern w:val="0"/>
          <w:sz w:val="24"/>
        </w:rPr>
      </w:pPr>
    </w:p>
    <w:p>
      <w:pPr>
        <w:autoSpaceDE w:val="0"/>
        <w:autoSpaceDN w:val="0"/>
        <w:adjustRightInd w:val="0"/>
        <w:jc w:val="right"/>
        <w:rPr>
          <w:rFonts w:asciiTheme="minorEastAsia" w:eastAsiaTheme="minorEastAsia" w:hAnsiTheme="minorEastAsia" w:cs="MS-Mincho"/>
          <w:kern w:val="0"/>
          <w:sz w:val="22"/>
          <w:szCs w:val="22"/>
          <w:u w:val="single"/>
        </w:rPr>
      </w:pPr>
      <w:r>
        <w:rPr>
          <w:rFonts w:asciiTheme="minorEastAsia" w:eastAsiaTheme="minorEastAsia" w:hAnsiTheme="minorEastAsia" w:cs="MS-Mincho" w:hint="eastAsia"/>
          <w:kern w:val="0"/>
          <w:sz w:val="22"/>
          <w:szCs w:val="22"/>
          <w:u w:val="single"/>
        </w:rPr>
        <w:t xml:space="preserve">記入日：　　　　　年　　</w:t>
      </w:r>
      <w:r>
        <w:rPr>
          <w:rFonts w:asciiTheme="minorEastAsia" w:eastAsiaTheme="minorEastAsia" w:hAnsiTheme="minorEastAsia" w:cs="MS-Mincho"/>
          <w:kern w:val="0"/>
          <w:sz w:val="22"/>
          <w:szCs w:val="22"/>
          <w:u w:val="single"/>
        </w:rPr>
        <w:t xml:space="preserve"> </w:t>
      </w:r>
      <w:r>
        <w:rPr>
          <w:rFonts w:asciiTheme="minorEastAsia" w:eastAsiaTheme="minorEastAsia" w:hAnsiTheme="minorEastAsia" w:cs="MS-Mincho" w:hint="eastAsia"/>
          <w:kern w:val="0"/>
          <w:sz w:val="22"/>
          <w:szCs w:val="22"/>
          <w:u w:val="single"/>
        </w:rPr>
        <w:t xml:space="preserve">月　　</w:t>
      </w:r>
      <w:r>
        <w:rPr>
          <w:rFonts w:asciiTheme="minorEastAsia" w:eastAsiaTheme="minorEastAsia" w:hAnsiTheme="minorEastAsia" w:cs="MS-Mincho"/>
          <w:kern w:val="0"/>
          <w:sz w:val="22"/>
          <w:szCs w:val="22"/>
          <w:u w:val="single"/>
        </w:rPr>
        <w:t xml:space="preserve"> </w:t>
      </w:r>
      <w:r>
        <w:rPr>
          <w:rFonts w:asciiTheme="minorEastAsia" w:eastAsiaTheme="minorEastAsia" w:hAnsiTheme="minorEastAsia" w:cs="MS-Mincho" w:hint="eastAsia"/>
          <w:kern w:val="0"/>
          <w:sz w:val="22"/>
          <w:szCs w:val="22"/>
          <w:u w:val="single"/>
        </w:rPr>
        <w:t>日</w:t>
      </w:r>
    </w:p>
    <w:p>
      <w:pPr>
        <w:autoSpaceDE w:val="0"/>
        <w:autoSpaceDN w:val="0"/>
        <w:adjustRightInd w:val="0"/>
        <w:jc w:val="left"/>
        <w:rPr>
          <w:rFonts w:asciiTheme="minorEastAsia" w:eastAsiaTheme="minorEastAsia" w:hAnsiTheme="minorEastAsia" w:cs="MS-Mincho"/>
          <w:kern w:val="0"/>
          <w:sz w:val="24"/>
        </w:rPr>
      </w:pPr>
    </w:p>
    <w:p>
      <w:pPr>
        <w:autoSpaceDE w:val="0"/>
        <w:autoSpaceDN w:val="0"/>
        <w:adjustRightInd w:val="0"/>
        <w:jc w:val="left"/>
        <w:rPr>
          <w:rFonts w:asciiTheme="minorEastAsia" w:eastAsiaTheme="minorEastAsia" w:hAnsiTheme="minorEastAsia" w:cs="MS-Mincho"/>
          <w:kern w:val="0"/>
          <w:sz w:val="24"/>
        </w:rPr>
      </w:pPr>
    </w:p>
    <w:p>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（宛先）浜松市長</w:t>
      </w:r>
    </w:p>
    <w:p>
      <w:pPr>
        <w:autoSpaceDE w:val="0"/>
        <w:autoSpaceDN w:val="0"/>
        <w:adjustRightInd w:val="0"/>
        <w:jc w:val="left"/>
        <w:rPr>
          <w:rFonts w:asciiTheme="minorEastAsia" w:eastAsiaTheme="minorEastAsia" w:hAnsiTheme="minorEastAsia" w:cs="MS-Mincho"/>
          <w:kern w:val="0"/>
          <w:sz w:val="24"/>
        </w:rPr>
      </w:pPr>
    </w:p>
    <w:p>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被保険者様記名欄</w:t>
      </w:r>
    </w:p>
    <w:tbl>
      <w:tblPr>
        <w:tblStyle w:val="a3"/>
        <w:tblW w:w="0" w:type="auto"/>
        <w:tblLook w:val="04A0" w:firstRow="1" w:lastRow="0" w:firstColumn="1" w:lastColumn="0" w:noHBand="0" w:noVBand="1"/>
      </w:tblPr>
      <w:tblGrid>
        <w:gridCol w:w="1384"/>
        <w:gridCol w:w="2693"/>
        <w:gridCol w:w="4625"/>
      </w:tblGrid>
      <w:tr>
        <w:tc>
          <w:tcPr>
            <w:tcW w:w="1384" w:type="dxa"/>
            <w:tcBorders>
              <w:top w:val="single" w:sz="4" w:space="0" w:color="auto"/>
              <w:left w:val="single" w:sz="4" w:space="0" w:color="auto"/>
              <w:bottom w:val="dotted" w:sz="4" w:space="0" w:color="auto"/>
              <w:right w:val="dotted" w:sz="4" w:space="0" w:color="auto"/>
            </w:tcBorders>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フリガナ</w:t>
            </w:r>
          </w:p>
        </w:tc>
        <w:tc>
          <w:tcPr>
            <w:tcW w:w="7318" w:type="dxa"/>
            <w:gridSpan w:val="2"/>
            <w:tcBorders>
              <w:top w:val="single" w:sz="4" w:space="0" w:color="auto"/>
              <w:left w:val="dotted" w:sz="4" w:space="0" w:color="auto"/>
              <w:bottom w:val="dotted" w:sz="4" w:space="0" w:color="auto"/>
              <w:right w:val="single" w:sz="4" w:space="0" w:color="auto"/>
            </w:tcBorders>
          </w:tcPr>
          <w:p>
            <w:pPr>
              <w:autoSpaceDE w:val="0"/>
              <w:autoSpaceDN w:val="0"/>
              <w:adjustRightInd w:val="0"/>
              <w:jc w:val="left"/>
              <w:rPr>
                <w:rFonts w:asciiTheme="minorEastAsia" w:eastAsiaTheme="minorEastAsia" w:hAnsiTheme="minorEastAsia" w:cs="MS-Mincho"/>
                <w:kern w:val="0"/>
                <w:sz w:val="22"/>
                <w:szCs w:val="22"/>
              </w:rPr>
            </w:pPr>
          </w:p>
        </w:tc>
      </w:tr>
      <w:tr>
        <w:tc>
          <w:tcPr>
            <w:tcW w:w="1384" w:type="dxa"/>
            <w:tcBorders>
              <w:top w:val="dotted" w:sz="4" w:space="0" w:color="auto"/>
              <w:left w:val="single" w:sz="4" w:space="0" w:color="auto"/>
              <w:bottom w:val="single" w:sz="4" w:space="0" w:color="auto"/>
              <w:right w:val="dotted" w:sz="4" w:space="0" w:color="auto"/>
            </w:tcBorders>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氏　　名</w:t>
            </w: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tc>
        <w:tc>
          <w:tcPr>
            <w:tcW w:w="7318" w:type="dxa"/>
            <w:gridSpan w:val="2"/>
            <w:tcBorders>
              <w:top w:val="dotted" w:sz="4" w:space="0" w:color="auto"/>
              <w:left w:val="dotted" w:sz="4" w:space="0" w:color="auto"/>
              <w:bottom w:val="single" w:sz="4" w:space="0" w:color="auto"/>
              <w:right w:val="single" w:sz="4" w:space="0" w:color="auto"/>
            </w:tcBorders>
          </w:tcPr>
          <w:p>
            <w:pPr>
              <w:autoSpaceDE w:val="0"/>
              <w:autoSpaceDN w:val="0"/>
              <w:adjustRightInd w:val="0"/>
              <w:jc w:val="left"/>
              <w:rPr>
                <w:rFonts w:asciiTheme="minorEastAsia" w:eastAsiaTheme="minorEastAsia" w:hAnsiTheme="minorEastAsia" w:cs="MS-Mincho"/>
                <w:kern w:val="0"/>
                <w:sz w:val="22"/>
                <w:szCs w:val="22"/>
              </w:rPr>
            </w:pPr>
          </w:p>
        </w:tc>
      </w:tr>
      <w:tr>
        <w:tc>
          <w:tcPr>
            <w:tcW w:w="8702" w:type="dxa"/>
            <w:gridSpan w:val="3"/>
            <w:tcBorders>
              <w:top w:val="single" w:sz="4" w:space="0" w:color="auto"/>
            </w:tcBorders>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（代理人記入の場合、代理人氏名）</w:t>
            </w: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righ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（続柄　　　　）</w:t>
            </w:r>
          </w:p>
        </w:tc>
      </w:tr>
      <w:tr>
        <w:tc>
          <w:tcPr>
            <w:tcW w:w="8702" w:type="dxa"/>
            <w:gridSpan w:val="3"/>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住　　所</w:t>
            </w: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tc>
      </w:tr>
      <w:tr>
        <w:tc>
          <w:tcPr>
            <w:tcW w:w="4077" w:type="dxa"/>
            <w:gridSpan w:val="2"/>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連絡先（電話番号）</w:t>
            </w: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tc>
        <w:tc>
          <w:tcPr>
            <w:tcW w:w="4625" w:type="dxa"/>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生年月日：</w:t>
            </w: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 xml:space="preserve">　　　　　　年　　　　月　　　　日</w:t>
            </w:r>
          </w:p>
        </w:tc>
      </w:tr>
      <w:tr>
        <w:tc>
          <w:tcPr>
            <w:tcW w:w="4077" w:type="dxa"/>
            <w:gridSpan w:val="2"/>
          </w:tcPr>
          <w:p>
            <w:pPr>
              <w:autoSpaceDE w:val="0"/>
              <w:autoSpaceDN w:val="0"/>
              <w:adjustRightInd w:val="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浜松市国民健康保険証</w:t>
            </w:r>
          </w:p>
          <w:p>
            <w:pPr>
              <w:autoSpaceDE w:val="0"/>
              <w:autoSpaceDN w:val="0"/>
              <w:adjustRightInd w:val="0"/>
              <w:jc w:val="center"/>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記号・番号</w:t>
            </w:r>
          </w:p>
        </w:tc>
        <w:tc>
          <w:tcPr>
            <w:tcW w:w="4625" w:type="dxa"/>
          </w:tcPr>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tc>
      </w:tr>
    </w:tbl>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2"/>
          <w:szCs w:val="22"/>
        </w:rPr>
      </w:pPr>
    </w:p>
    <w:p>
      <w:pPr>
        <w:autoSpaceDE w:val="0"/>
        <w:autoSpaceDN w:val="0"/>
        <w:adjustRightInd w:val="0"/>
        <w:jc w:val="center"/>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lastRenderedPageBreak/>
        <w:t>オンライン資格確認等システムによる特定健康診査情報の提供について</w:t>
      </w:r>
    </w:p>
    <w:p>
      <w:pPr>
        <w:autoSpaceDE w:val="0"/>
        <w:autoSpaceDN w:val="0"/>
        <w:adjustRightInd w:val="0"/>
        <w:jc w:val="center"/>
        <w:rPr>
          <w:rFonts w:asciiTheme="minorEastAsia" w:eastAsiaTheme="minorEastAsia" w:hAnsiTheme="minorEastAsia" w:cs="MS-Mincho"/>
          <w:kern w:val="0"/>
          <w:sz w:val="24"/>
        </w:rPr>
      </w:pPr>
    </w:p>
    <w:p>
      <w:pPr>
        <w:autoSpaceDE w:val="0"/>
        <w:autoSpaceDN w:val="0"/>
        <w:adjustRightInd w:val="0"/>
        <w:ind w:firstLineChars="100" w:firstLine="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浜松市は、オンライン資格確認等システムを導入しています。</w:t>
      </w:r>
    </w:p>
    <w:p>
      <w:pPr>
        <w:autoSpaceDE w:val="0"/>
        <w:autoSpaceDN w:val="0"/>
        <w:adjustRightInd w:val="0"/>
        <w:ind w:firstLineChars="100" w:firstLine="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オンライン資格確認等システムは、政府が医療保険制度の効率的な運営を図るために推進しているものであり、このシステムの機能の１つとして、当該国民健康保険に加入する前に加入していた保険者（以下「旧保険者」という。）において、高齢者の医療の確保に関する法律（昭和</w:t>
      </w:r>
      <w:r>
        <w:rPr>
          <w:rFonts w:asciiTheme="minorEastAsia" w:eastAsiaTheme="minorEastAsia" w:hAnsiTheme="minorEastAsia" w:cs="MS-Mincho"/>
          <w:kern w:val="0"/>
          <w:sz w:val="24"/>
        </w:rPr>
        <w:t xml:space="preserve">57 </w:t>
      </w:r>
      <w:r>
        <w:rPr>
          <w:rFonts w:asciiTheme="minorEastAsia" w:eastAsiaTheme="minorEastAsia" w:hAnsiTheme="minorEastAsia" w:cs="MS-Mincho" w:hint="eastAsia"/>
          <w:kern w:val="0"/>
          <w:sz w:val="24"/>
        </w:rPr>
        <w:t>年法律第</w:t>
      </w:r>
      <w:r>
        <w:rPr>
          <w:rFonts w:asciiTheme="minorEastAsia" w:eastAsiaTheme="minorEastAsia" w:hAnsiTheme="minorEastAsia" w:cs="MS-Mincho"/>
          <w:kern w:val="0"/>
          <w:sz w:val="24"/>
        </w:rPr>
        <w:t xml:space="preserve">80 </w:t>
      </w:r>
      <w:r>
        <w:rPr>
          <w:rFonts w:asciiTheme="minorEastAsia" w:eastAsiaTheme="minorEastAsia" w:hAnsiTheme="minorEastAsia" w:cs="MS-Mincho" w:hint="eastAsia"/>
          <w:kern w:val="0"/>
          <w:sz w:val="24"/>
        </w:rPr>
        <w:t>号。以下「高確法」という。）第</w:t>
      </w:r>
      <w:r>
        <w:rPr>
          <w:rFonts w:asciiTheme="minorEastAsia" w:eastAsiaTheme="minorEastAsia" w:hAnsiTheme="minorEastAsia" w:cs="MS-Mincho"/>
          <w:kern w:val="0"/>
          <w:sz w:val="24"/>
        </w:rPr>
        <w:t>20</w:t>
      </w:r>
      <w:r>
        <w:rPr>
          <w:rFonts w:asciiTheme="minorEastAsia" w:eastAsiaTheme="minorEastAsia" w:hAnsiTheme="minorEastAsia" w:cs="MS-Mincho" w:hint="eastAsia"/>
          <w:kern w:val="0"/>
          <w:sz w:val="24"/>
        </w:rPr>
        <w:t>条に基づいて実施された特定健康診査（以下「特定健診」という。）の情報を、当市に提供することが可能となっています。</w:t>
      </w:r>
    </w:p>
    <w:p>
      <w:pPr>
        <w:autoSpaceDE w:val="0"/>
        <w:autoSpaceDN w:val="0"/>
        <w:adjustRightInd w:val="0"/>
        <w:ind w:firstLineChars="100" w:firstLine="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この提供にあたっては、高確法第</w:t>
      </w:r>
      <w:r>
        <w:rPr>
          <w:rFonts w:asciiTheme="minorEastAsia" w:eastAsiaTheme="minorEastAsia" w:hAnsiTheme="minorEastAsia" w:cs="MS-Mincho"/>
          <w:kern w:val="0"/>
          <w:sz w:val="24"/>
        </w:rPr>
        <w:t xml:space="preserve">27 </w:t>
      </w:r>
      <w:r>
        <w:rPr>
          <w:rFonts w:asciiTheme="minorEastAsia" w:eastAsiaTheme="minorEastAsia" w:hAnsiTheme="minorEastAsia" w:cs="MS-Mincho" w:hint="eastAsia"/>
          <w:kern w:val="0"/>
          <w:sz w:val="24"/>
        </w:rPr>
        <w:t>条第１項及び第３項並びに特定健康診査及び特定保健指導の実施に関する基準（平成</w:t>
      </w:r>
      <w:r>
        <w:rPr>
          <w:rFonts w:asciiTheme="minorEastAsia" w:eastAsiaTheme="minorEastAsia" w:hAnsiTheme="minorEastAsia" w:cs="MS-Mincho"/>
          <w:kern w:val="0"/>
          <w:sz w:val="24"/>
        </w:rPr>
        <w:t xml:space="preserve">19 </w:t>
      </w:r>
      <w:r>
        <w:rPr>
          <w:rFonts w:asciiTheme="minorEastAsia" w:eastAsiaTheme="minorEastAsia" w:hAnsiTheme="minorEastAsia" w:cs="MS-Mincho" w:hint="eastAsia"/>
          <w:kern w:val="0"/>
          <w:sz w:val="24"/>
        </w:rPr>
        <w:t>年厚生労働省令第</w:t>
      </w:r>
      <w:r>
        <w:rPr>
          <w:rFonts w:asciiTheme="minorEastAsia" w:eastAsiaTheme="minorEastAsia" w:hAnsiTheme="minorEastAsia" w:cs="MS-Mincho"/>
          <w:kern w:val="0"/>
          <w:sz w:val="24"/>
        </w:rPr>
        <w:t xml:space="preserve">157 </w:t>
      </w:r>
      <w:r>
        <w:rPr>
          <w:rFonts w:asciiTheme="minorEastAsia" w:eastAsiaTheme="minorEastAsia" w:hAnsiTheme="minorEastAsia" w:cs="MS-Mincho" w:hint="eastAsia"/>
          <w:kern w:val="0"/>
          <w:sz w:val="24"/>
        </w:rPr>
        <w:t>号）第</w:t>
      </w:r>
      <w:r>
        <w:rPr>
          <w:rFonts w:asciiTheme="minorEastAsia" w:eastAsiaTheme="minorEastAsia" w:hAnsiTheme="minorEastAsia" w:cs="MS-Mincho"/>
          <w:kern w:val="0"/>
          <w:sz w:val="24"/>
        </w:rPr>
        <w:t xml:space="preserve">13 </w:t>
      </w:r>
      <w:r>
        <w:rPr>
          <w:rFonts w:asciiTheme="minorEastAsia" w:eastAsiaTheme="minorEastAsia" w:hAnsiTheme="minorEastAsia" w:cs="MS-Mincho" w:hint="eastAsia"/>
          <w:kern w:val="0"/>
          <w:sz w:val="24"/>
        </w:rPr>
        <w:t>条第１項において、オンライン資格確認等システムを用いて、当市が旧保険者から特定健診情報の提供を受ける場合は、当市又は旧保険者は加入者又は加入者であった者の同意を得ることは不要とされております。</w:t>
      </w:r>
    </w:p>
    <w:p>
      <w:pPr>
        <w:autoSpaceDE w:val="0"/>
        <w:autoSpaceDN w:val="0"/>
        <w:adjustRightInd w:val="0"/>
        <w:ind w:firstLineChars="100" w:firstLine="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一方、「特定健康診査及び特定保健指導の実施に関する基準の一部を改正する省令の施行について」（令和３年２月５日付け保発</w:t>
      </w:r>
      <w:r>
        <w:rPr>
          <w:rFonts w:asciiTheme="minorEastAsia" w:eastAsiaTheme="minorEastAsia" w:hAnsiTheme="minorEastAsia" w:cs="MS-Mincho"/>
          <w:kern w:val="0"/>
          <w:sz w:val="24"/>
        </w:rPr>
        <w:t xml:space="preserve">0205 </w:t>
      </w:r>
      <w:r>
        <w:rPr>
          <w:rFonts w:asciiTheme="minorEastAsia" w:eastAsiaTheme="minorEastAsia" w:hAnsiTheme="minorEastAsia" w:cs="MS-Mincho" w:hint="eastAsia"/>
          <w:kern w:val="0"/>
          <w:sz w:val="24"/>
        </w:rPr>
        <w:t>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市は、旧保険者に対して特定健診情報の提供を依頼しません。</w:t>
      </w:r>
    </w:p>
    <w:p>
      <w:pPr>
        <w:autoSpaceDE w:val="0"/>
        <w:autoSpaceDN w:val="0"/>
        <w:adjustRightInd w:val="0"/>
        <w:ind w:firstLineChars="100" w:firstLine="240"/>
        <w:jc w:val="left"/>
        <w:rPr>
          <w:rFonts w:asciiTheme="minorEastAsia" w:eastAsiaTheme="minorEastAsia" w:hAnsiTheme="minorEastAsia" w:cs="MS-Mincho"/>
          <w:kern w:val="0"/>
          <w:sz w:val="24"/>
        </w:rPr>
      </w:pPr>
    </w:p>
    <w:p>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１．提供されない具体的な情報項目について</w:t>
      </w:r>
    </w:p>
    <w:p>
      <w:pPr>
        <w:autoSpaceDE w:val="0"/>
        <w:autoSpaceDN w:val="0"/>
        <w:adjustRightInd w:val="0"/>
        <w:ind w:leftChars="200" w:left="420" w:firstLineChars="100" w:firstLine="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特定健診情報には以下の項目があり、本申請によりその全てが旧保険者から当市に提供されません。</w:t>
      </w:r>
    </w:p>
    <w:p>
      <w:pPr>
        <w:autoSpaceDE w:val="0"/>
        <w:autoSpaceDN w:val="0"/>
        <w:adjustRightInd w:val="0"/>
        <w:ind w:leftChars="200" w:left="420" w:firstLineChars="100" w:firstLine="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特定健診受診年月日、特定健診情報（身長、体重、腹囲、血圧、尿検査・血液検査結果等）</w:t>
      </w:r>
    </w:p>
    <w:p>
      <w:pPr>
        <w:autoSpaceDE w:val="0"/>
        <w:autoSpaceDN w:val="0"/>
        <w:adjustRightInd w:val="0"/>
        <w:ind w:leftChars="200" w:left="420" w:firstLineChars="100" w:firstLine="220"/>
        <w:jc w:val="left"/>
        <w:rPr>
          <w:rFonts w:asciiTheme="minorEastAsia" w:eastAsiaTheme="minorEastAsia" w:hAnsiTheme="minorEastAsia" w:cs="MS-Mincho"/>
          <w:kern w:val="0"/>
          <w:sz w:val="22"/>
          <w:szCs w:val="22"/>
        </w:rPr>
      </w:pPr>
    </w:p>
    <w:p>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２．不同意による効果と留意事項について</w:t>
      </w:r>
    </w:p>
    <w:p>
      <w:pPr>
        <w:autoSpaceDE w:val="0"/>
        <w:autoSpaceDN w:val="0"/>
        <w:adjustRightInd w:val="0"/>
        <w:ind w:leftChars="100" w:left="430" w:hangingChars="100" w:hanging="220"/>
        <w:jc w:val="left"/>
        <w:rPr>
          <w:rFonts w:asciiTheme="minorEastAsia" w:eastAsiaTheme="minorEastAsia" w:hAnsiTheme="minorEastAsia" w:cs="MS-Mincho"/>
          <w:kern w:val="0"/>
          <w:sz w:val="22"/>
          <w:szCs w:val="22"/>
        </w:rPr>
      </w:pPr>
      <w:r>
        <w:rPr>
          <w:rFonts w:asciiTheme="minorEastAsia" w:eastAsiaTheme="minorEastAsia" w:hAnsiTheme="minorEastAsia" w:cs="MS-Mincho" w:hint="eastAsia"/>
          <w:kern w:val="0"/>
          <w:sz w:val="22"/>
          <w:szCs w:val="22"/>
        </w:rPr>
        <w:t>・</w:t>
      </w:r>
      <w:r>
        <w:rPr>
          <w:rFonts w:asciiTheme="minorEastAsia" w:eastAsiaTheme="minorEastAsia" w:hAnsiTheme="minorEastAsia" w:cs="MS-Mincho"/>
          <w:kern w:val="0"/>
          <w:sz w:val="22"/>
          <w:szCs w:val="22"/>
        </w:rPr>
        <w:t xml:space="preserve"> </w:t>
      </w:r>
      <w:r>
        <w:rPr>
          <w:rFonts w:asciiTheme="minorEastAsia" w:eastAsiaTheme="minorEastAsia" w:hAnsiTheme="minorEastAsia" w:cs="MS-Mincho" w:hint="eastAsia"/>
          <w:kern w:val="0"/>
          <w:sz w:val="22"/>
          <w:szCs w:val="22"/>
        </w:rPr>
        <w:t>本申請をもって当市はオンライン資格確認等システム上に設定を行い、加入者が過去に加入していた全ての保険者の特定健診情報を、当市が閲覧できないようにします。</w:t>
      </w:r>
    </w:p>
    <w:p>
      <w:pPr>
        <w:autoSpaceDE w:val="0"/>
        <w:autoSpaceDN w:val="0"/>
        <w:adjustRightInd w:val="0"/>
        <w:ind w:leftChars="100" w:left="430" w:hangingChars="100" w:hanging="220"/>
        <w:jc w:val="left"/>
        <w:rPr>
          <w:rFonts w:asciiTheme="minorEastAsia" w:eastAsiaTheme="minorEastAsia" w:hAnsiTheme="minorEastAsia"/>
        </w:rPr>
      </w:pPr>
      <w:r>
        <w:rPr>
          <w:rFonts w:asciiTheme="minorEastAsia" w:eastAsiaTheme="minorEastAsia" w:hAnsiTheme="minorEastAsia" w:cs="MS-Mincho" w:hint="eastAsia"/>
          <w:kern w:val="0"/>
          <w:sz w:val="22"/>
          <w:szCs w:val="22"/>
        </w:rPr>
        <w:t>・</w:t>
      </w:r>
      <w:r>
        <w:rPr>
          <w:rFonts w:asciiTheme="minorEastAsia" w:eastAsiaTheme="minorEastAsia" w:hAnsiTheme="minorEastAsia" w:cs="MS-Mincho"/>
          <w:kern w:val="0"/>
          <w:sz w:val="22"/>
          <w:szCs w:val="22"/>
        </w:rPr>
        <w:t xml:space="preserve"> </w:t>
      </w:r>
      <w:r>
        <w:rPr>
          <w:rFonts w:asciiTheme="minorEastAsia" w:eastAsiaTheme="minorEastAsia" w:hAnsiTheme="minorEastAsia" w:cs="MS-Mincho" w:hint="eastAsia"/>
          <w:kern w:val="0"/>
          <w:sz w:val="22"/>
          <w:szCs w:val="22"/>
        </w:rPr>
        <w:t>ただし、今後当市国民健康保険から別の保険者へ異動した場合、異動後の保険者において、当該保険者が、加入者が過去に加入していた保険者の保有する特定健診情報を閲覧できないようにするために、システム上の設定が再度必要となることから、異動先の保険者に対して不同意に係る本申請書を再度提出する必要があります。</w:t>
      </w:r>
    </w:p>
    <w:sectPr>
      <w:headerReference w:type="default" r:id="rId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C416C8-DE8F-47FA-8375-567E7BB9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kern w:val="2"/>
      <w:sz w:val="21"/>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69A-D580-4779-9B46-59DDFC1E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2022-03-10T01:33:00Z</dcterms:created>
  <dcterms:modified xsi:type="dcterms:W3CDTF">2022-03-15T23:55:00Z</dcterms:modified>
</cp:coreProperties>
</file>